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pPr>
    </w:p>
    <w:p>
      <w:pPr>
        <w:spacing w:line="240" w:lineRule="auto"/>
      </w:pPr>
    </w:p>
    <w:p>
      <w:pPr>
        <w:spacing w:line="240" w:lineRule="auto"/>
      </w:pPr>
    </w:p>
    <w:p>
      <w:pPr>
        <w:spacing w:line="240" w:lineRule="auto"/>
      </w:pPr>
    </w:p>
    <w:p>
      <w:pPr>
        <w:spacing w:line="240" w:lineRule="auto"/>
        <w:ind w:firstLine="0"/>
        <w:jc w:val="center"/>
      </w:pPr>
      <w:r>
        <w:t>From Information to Access: Continuity Gaps in Postsecondary Disability Support</w:t>
      </w:r>
    </w:p>
    <w:p>
      <w:pPr>
        <w:spacing w:line="240" w:lineRule="auto" w:after="0"/>
        <w:ind w:firstLine="0"/>
        <w:jc w:val="center"/>
      </w:pPr>
      <w:r>
        <w:rPr>
          <w:rFonts w:ascii="Times New Roman" w:hAnsi="Times New Roman"/>
          <w:b w:val="0"/>
          <w:i w:val="0"/>
          <w:sz w:val="24"/>
        </w:rPr>
        <w:t>Eric S. Fishon</w:t>
      </w:r>
    </w:p>
    <w:p>
      <w:pPr>
        <w:spacing w:line="240" w:lineRule="auto" w:after="0"/>
        <w:ind w:firstLine="0"/>
        <w:jc w:val="center"/>
      </w:pPr>
      <w:r>
        <w:rPr>
          <w:rFonts w:ascii="Times New Roman" w:hAnsi="Times New Roman"/>
          <w:b w:val="0"/>
          <w:i w:val="0"/>
          <w:sz w:val="24"/>
        </w:rPr>
        <w:t>University of Florida</w:t>
      </w:r>
    </w:p>
    <w:p>
      <w:pPr>
        <w:spacing w:line="240" w:lineRule="auto" w:after="0"/>
        <w:ind w:firstLine="0"/>
        <w:jc w:val="center"/>
      </w:pPr>
      <w:r>
        <w:t>Coauthor and Committee Review Draft</w:t>
      </w:r>
    </w:p>
    <w:p>
      <w:pPr>
        <w:spacing w:line="240" w:lineRule="auto" w:after="0"/>
        <w:ind w:firstLine="0"/>
        <w:jc w:val="center"/>
      </w:pPr>
      <w:r>
        <w:t>September 2026</w:t>
      </w:r>
    </w:p>
    <w:p>
      <w:r>
        <w:br w:type="page"/>
      </w:r>
    </w:p>
    <w:p>
      <w:pPr>
        <w:pStyle w:val="Heading1"/>
        <w:ind w:firstLine="0"/>
        <w:jc w:val="center"/>
      </w:pPr>
      <w:r>
        <w:rPr>
          <w:rFonts w:ascii="Times New Roman" w:hAnsi="Times New Roman"/>
          <w:b/>
          <w:sz w:val="24"/>
        </w:rPr>
        <w:t>Abstract</w:t>
      </w:r>
    </w:p>
    <w:p>
      <w:pPr>
        <w:spacing w:line="480" w:lineRule="auto" w:after="0"/>
        <w:jc w:val="left"/>
      </w:pPr>
      <w:r>
        <w:t>Students with nonapparent disabilities enter postsecondary education within a substantial landscape of federal guidance, disability-resource offices, transition materials, assistive technologies, and digital tools. Yet the presence of resources does not necessarily produce usable access. This structured resource-and-gap analysis examines residual burdens that remain as students navigate disclosure, accommodation processes, implementation, and follow-up. Across peer-reviewed literature, authoritative guidance, professional resources, and illustrative institutional processes, six recurring issues emerge: fragmented navigation; difficulty translating general guidance into context-specific action; weak continuity across the secondary-to-postsecondary transition; implementation and follow-up burdens after accommodation approval; variable fit and support for assistive technology; and the need for cognitively accessible, student-controlled systems. Generative artificial intelligence may support bounded functions such as organization, plain-language translation, question preparation, and navigation to verified resources, but current evidence does not support autonomous diagnosis, eligibility determination, or accommodation selection. The analysis identifies an access-continuity problem between information, action, implementation, and review rather than a simple absence of disability resources. Findings suggest that institutional practices and future digital tools should complement disability-resource professionals, preserve human decision-making, reduce coordination burden, and strengthen students' ability to move from recognized need to implemented and reviewed access.</w:t>
      </w:r>
    </w:p>
    <w:p>
      <w:pPr>
        <w:spacing w:line="480" w:lineRule="auto"/>
        <w:ind w:firstLine="0"/>
      </w:pPr>
      <w:r>
        <w:t>Keywords: nonapparent disability, postsecondary education, accommodations, access continuity, accessibility</w:t>
      </w:r>
    </w:p>
    <w:p>
      <w:pPr>
        <w:pStyle w:val="Heading1"/>
        <w:ind w:firstLine="0"/>
        <w:jc w:val="center"/>
      </w:pPr>
      <w:r>
        <w:t>From Information to Access: Continuity Gaps in Postsecondary Disability Support</w:t>
      </w:r>
    </w:p>
    <w:p>
      <w:pPr>
        <w:spacing w:line="480" w:lineRule="auto" w:after="0"/>
        <w:ind w:firstLine="720"/>
        <w:jc w:val="left"/>
      </w:pPr>
      <w:r>
        <w:rPr>
          <w:rFonts w:ascii="Times New Roman" w:hAnsi="Times New Roman"/>
          <w:b w:val="0"/>
          <w:i w:val="0"/>
          <w:sz w:val="24"/>
        </w:rPr>
        <w:t>Students with nonapparent disabilities entering postsecondary education encounter a dense but uneven access landscape. Federal civil-rights guidance, campus disability-resource offices, faculty procedures, transition materials, advising and counseling systems, assistive technologies, and emerging digital tools all address parts of the access process. This abundance matters because it changes the research problem. The central question is not simply whether resources exist, but whether students can translate available information into timely, context-specific action and sustain access after accommodations or supports are approved.</w:t>
      </w:r>
    </w:p>
    <w:p>
      <w:pPr>
        <w:spacing w:line="480" w:lineRule="auto" w:after="0"/>
        <w:ind w:firstLine="720"/>
        <w:jc w:val="left"/>
      </w:pPr>
      <w:r>
        <w:rPr>
          <w:rFonts w:ascii="Times New Roman" w:hAnsi="Times New Roman"/>
          <w:b w:val="0"/>
          <w:i w:val="0"/>
          <w:sz w:val="24"/>
        </w:rPr>
        <w:t>Recent scholarship reinforces the distinction between resource presence and usable access. Assistive technology can support academic and psychosocial outcomes, but its benefits depend on fit, availability, training, and support in context (McNicholl et al., 2021, 2023). Likewise, accommodations may be formally approved while students still encounter inconsistent use, coordination demands, or implementation barriers (Blasey et al., 2023; Edwards et al., 2022; Tufty et al., 2024). Transition and disclosure research further suggests that students with nonapparent disabilities must often decide whether, when, and how to disclose disability-related information while simultaneously learning unfamiliar institutional procedures (Kline &amp; Davidson, 2022; Melián &amp; Meneses, 2022; Parsons et al., 2023).</w:t>
      </w:r>
    </w:p>
    <w:p>
      <w:pPr>
        <w:spacing w:line="480" w:lineRule="auto" w:after="0"/>
        <w:ind w:firstLine="720"/>
        <w:jc w:val="left"/>
      </w:pPr>
      <w:r>
        <w:t>This article examines the residual gaps that remain after accounting for existing institutional, governmental, professional, assistive-technology, and digital resources. The guiding question is: What meaningful continuity gaps remain in navigation, accessibility, implementation, follow-up, and human-guided technology support for students with nonapparent disabilities in postsecondary education?</w:t>
      </w:r>
    </w:p>
    <w:p>
      <w:pPr>
        <w:pStyle w:val="Heading1"/>
        <w:ind w:firstLine="0"/>
        <w:jc w:val="center"/>
      </w:pPr>
      <w:r>
        <w:rPr>
          <w:rFonts w:ascii="Times New Roman" w:hAnsi="Times New Roman"/>
          <w:b/>
          <w:sz w:val="24"/>
        </w:rPr>
        <w:t>Conceptual Framing</w:t>
      </w:r>
    </w:p>
    <w:p>
      <w:pPr>
        <w:spacing w:line="480" w:lineRule="auto" w:after="0"/>
        <w:ind w:firstLine="720"/>
        <w:jc w:val="left"/>
      </w:pPr>
      <w:r>
        <w:rPr>
          <w:rFonts w:ascii="Times New Roman" w:hAnsi="Times New Roman"/>
          <w:b w:val="0"/>
          <w:i w:val="0"/>
          <w:sz w:val="24"/>
        </w:rPr>
        <w:t>Access is treated here as an interaction among the student, institution, and environment rather than as a student-level capacity alone. A navigation difficulty may reflect limited systems knowledge, but it may also reflect fragmented information. An implementation problem may involve student communication, but it may also reflect inconsistent faculty procedures or insufficient follow-up. A technology problem may involve tool selection, but it may also reflect inaccessible design, affordability, training, or weak integration with human support.</w:t>
      </w:r>
    </w:p>
    <w:p>
      <w:pPr>
        <w:spacing w:line="480" w:lineRule="auto" w:after="0"/>
        <w:ind w:firstLine="720"/>
        <w:jc w:val="left"/>
      </w:pPr>
      <w:r>
        <w:rPr>
          <w:rFonts w:ascii="Times New Roman" w:hAnsi="Times New Roman"/>
          <w:b w:val="0"/>
          <w:i w:val="0"/>
          <w:sz w:val="24"/>
        </w:rPr>
        <w:t>Universal Design is therefore used as a cross-cutting evaluative lens rather than as a stand-alone intervention. Reviews of Universal Design for Learning in higher education support proactive design for learner variability, while student-perspective research emphasizes that accessibility should be evaluated through disabled students' experiences rather than assumed from design intent alone (Cumming &amp; Rose, 2022; Li et al., 2026). This framing also aligns with a broader social-contextual view of disability: reducing access barriers requires attention to institutional processes, instructional practices, information design, and the distribution of responsibility for navigating support.</w:t>
      </w:r>
    </w:p>
    <w:p>
      <w:pPr>
        <w:pStyle w:val="Heading1"/>
        <w:ind w:firstLine="0"/>
        <w:jc w:val="center"/>
      </w:pPr>
      <w:r>
        <w:rPr>
          <w:rFonts w:ascii="Times New Roman" w:hAnsi="Times New Roman"/>
          <w:b/>
          <w:sz w:val="24"/>
        </w:rPr>
        <w:t>Method</w:t>
      </w:r>
    </w:p>
    <w:p>
      <w:pPr>
        <w:pStyle w:val="Heading2"/>
        <w:ind w:firstLine="0"/>
        <w:jc w:val="left"/>
      </w:pPr>
      <w:r>
        <w:rPr>
          <w:rFonts w:ascii="Times New Roman" w:hAnsi="Times New Roman"/>
          <w:b/>
          <w:i/>
          <w:sz w:val="24"/>
        </w:rPr>
        <w:t>Design</w:t>
      </w:r>
    </w:p>
    <w:p>
      <w:pPr>
        <w:spacing w:line="480" w:lineRule="auto" w:after="0"/>
        <w:ind w:firstLine="720"/>
        <w:jc w:val="left"/>
      </w:pPr>
      <w:r>
        <w:rPr>
          <w:rFonts w:ascii="Times New Roman" w:hAnsi="Times New Roman"/>
          <w:b w:val="0"/>
          <w:i w:val="0"/>
          <w:sz w:val="24"/>
        </w:rPr>
        <w:t>This study uses a structured resource-and-gap analysis. It does not involve recruitment, interviews, surveys, observations, or other live human-subject data collection. The analysis compares documented transition and postsecondary access needs with existing responses and evaluates where residual burdens remain. Resource presence is not treated as proof of effectiveness, and the number of resources located is not treated as a measure of adequacy.</w:t>
      </w:r>
    </w:p>
    <w:p>
      <w:pPr>
        <w:pStyle w:val="Heading2"/>
        <w:ind w:firstLine="0"/>
        <w:jc w:val="left"/>
      </w:pPr>
      <w:r>
        <w:rPr>
          <w:rFonts w:ascii="Times New Roman" w:hAnsi="Times New Roman"/>
          <w:b/>
          <w:i/>
          <w:sz w:val="24"/>
        </w:rPr>
        <w:t>Resource Domains</w:t>
      </w:r>
    </w:p>
    <w:p>
      <w:pPr>
        <w:spacing w:line="480" w:lineRule="auto" w:after="0"/>
        <w:ind w:firstLine="720"/>
        <w:jc w:val="left"/>
      </w:pPr>
      <w:r>
        <w:rPr>
          <w:rFonts w:ascii="Times New Roman" w:hAnsi="Times New Roman"/>
          <w:b w:val="0"/>
          <w:i w:val="0"/>
          <w:sz w:val="24"/>
        </w:rPr>
        <w:t>Resources were organized into five domains: (a) authoritative federal and institutional guidance; (b) transition and self-advocacy resources; (c) disability-resource and accommodation processes; (d) assistive and educational technologies; and (e) emerging digital and generative-AI supports. Across domains, the analysis considered intended user, purpose, accessibility characteristics, evidence base, cost or access barriers when known, level of required human support, limitations, and the barrier or task addressed.</w:t>
      </w:r>
    </w:p>
    <w:p>
      <w:pPr>
        <w:pStyle w:val="Heading2"/>
        <w:ind w:firstLine="0"/>
        <w:jc w:val="left"/>
      </w:pPr>
      <w:r>
        <w:rPr>
          <w:rFonts w:ascii="Times New Roman" w:hAnsi="Times New Roman"/>
          <w:b/>
          <w:i/>
          <w:sz w:val="24"/>
        </w:rPr>
        <w:t>Gap Identification</w:t>
      </w:r>
    </w:p>
    <w:p>
      <w:pPr>
        <w:spacing w:line="480" w:lineRule="auto" w:after="0"/>
        <w:ind w:firstLine="720"/>
        <w:jc w:val="left"/>
      </w:pPr>
      <w:r>
        <w:rPr>
          <w:rFonts w:ascii="Times New Roman" w:hAnsi="Times New Roman"/>
          <w:b w:val="0"/>
          <w:i w:val="0"/>
          <w:sz w:val="24"/>
        </w:rPr>
        <w:t>A candidate gap was retained only when a documented need remained incompletely addressed after resource mapping. Analytic categories included fragmentation and navigation burden; limited translation from general information to context-specific action; weak continuity across the secondary-to-postsecondary transition; implementation and follow-up barriers; inaccessible or cognitively demanding information; affordability or technology-access barriers; privacy and transparency concerns; and insufficient student control. Candidate gaps were evaluated for evidence strength, distinctiveness from existing resources, practical significance, accessibility and equity implications, ethical tractability, and relevance to an applied response.</w:t>
      </w:r>
    </w:p>
    <w:p>
      <w:pPr>
        <w:pStyle w:val="Heading2"/>
        <w:ind w:firstLine="0"/>
        <w:jc w:val="left"/>
      </w:pPr>
      <w:r>
        <w:t>Source Identification and Eligibility</w:t>
      </w:r>
    </w:p>
    <w:p>
      <w:pPr>
        <w:spacing w:line="480" w:lineRule="auto" w:after="0"/>
        <w:ind w:firstLine="720"/>
        <w:jc w:val="left"/>
      </w:pPr>
      <w:r>
        <w:t>The analysis drew on the project's verified evidence ledger and targeted searches developed across the related needs-assessment and resource-mapping work. Peer-reviewed sources were identified through iterative searches of ERIC, PubMed/MEDLINE, publisher and DOI records, and backward and forward citation chaining. Recent evidence was prioritized, while older sources were retained when they were seminal, theoretically necessary, or authoritative for legal or professional guidance. Search concepts combined disability and nonapparent-disability terms with higher education, secondary-to-postsecondary transition, accommodations, disability services, self-advocacy, disclosure, Universal Design, assistive technology, generative AI, accessibility, implementation, and follow-up. Authoritative federal, professional, and institutional resources were examined separately when the claim concerned rights, procedures, standards, or current practice rather than empirical effectiveness. The review is structured and purposive rather than systematic; it does not claim exhaustive coverage or estimate prevalence.</w:t>
      </w:r>
    </w:p>
    <w:p>
      <w:pPr>
        <w:pStyle w:val="Heading1"/>
        <w:ind w:firstLine="0"/>
        <w:jc w:val="center"/>
      </w:pPr>
      <w:r>
        <w:rPr>
          <w:rFonts w:ascii="Times New Roman" w:hAnsi="Times New Roman"/>
          <w:b/>
          <w:sz w:val="24"/>
        </w:rPr>
        <w:t>Findings</w:t>
      </w:r>
    </w:p>
    <w:p>
      <w:pPr>
        <w:pStyle w:val="Heading2"/>
        <w:ind w:firstLine="0"/>
        <w:jc w:val="left"/>
      </w:pPr>
      <w:r>
        <w:rPr>
          <w:rFonts w:ascii="Times New Roman" w:hAnsi="Times New Roman"/>
          <w:b/>
          <w:i/>
          <w:sz w:val="24"/>
        </w:rPr>
        <w:t>Information Exists, but Navigation Remains a Distinct Problem</w:t>
      </w:r>
    </w:p>
    <w:p>
      <w:pPr>
        <w:spacing w:line="480" w:lineRule="auto" w:after="0"/>
        <w:ind w:firstLine="720"/>
        <w:jc w:val="left"/>
      </w:pPr>
      <w:r>
        <w:rPr>
          <w:rFonts w:ascii="Times New Roman" w:hAnsi="Times New Roman"/>
          <w:b w:val="0"/>
          <w:i w:val="0"/>
          <w:sz w:val="24"/>
        </w:rPr>
        <w:t>Federal and institutional resources provide substantial information about disability rights, academic adjustments, documentation, and postsecondary procedures. Professional organizations and transition resources likewise explain how students can prepare for college. The residual problem is therefore less an information deficit than a navigation burden: information is distributed across federal, professional, institutional, and course-specific sources, leaving students to determine which source applies to the immediate problem and what action should follow (Cho &amp; Jones, 2024; Parsons et al., 2023).</w:t>
      </w:r>
    </w:p>
    <w:p>
      <w:pPr>
        <w:pStyle w:val="Heading2"/>
        <w:ind w:firstLine="0"/>
        <w:jc w:val="left"/>
      </w:pPr>
      <w:r>
        <w:rPr>
          <w:rFonts w:ascii="Times New Roman" w:hAnsi="Times New Roman"/>
          <w:b/>
          <w:i/>
          <w:sz w:val="24"/>
        </w:rPr>
        <w:t>Transition Resources Explain Responsibilities More Clearly Than They Scaffold Action</w:t>
      </w:r>
    </w:p>
    <w:p>
      <w:pPr>
        <w:spacing w:line="480" w:lineRule="auto" w:after="0"/>
        <w:ind w:firstLine="720"/>
        <w:jc w:val="left"/>
      </w:pPr>
      <w:r>
        <w:rPr>
          <w:rFonts w:ascii="Times New Roman" w:hAnsi="Times New Roman"/>
          <w:b w:val="0"/>
          <w:i w:val="0"/>
          <w:sz w:val="24"/>
        </w:rPr>
        <w:t>Transition materials can explain that postsecondary students assume greater responsibility for disclosure, documentation, requesting accommodations, and communicating with institutions. Yet explanation does not automatically become action. Students must identify the current barrier, determine the appropriate contact, prepare a concise explanation, decide whether disclosure is necessary, and recognize when additional human support is needed. These demands are especially consequential for students with nonapparent disabilities because disclosure may be shaped by stigma, credibility concerns, and expectations about whether support will be useful (Kline &amp; Davidson, 2022; Melián &amp; Meneses, 2022).</w:t>
      </w:r>
    </w:p>
    <w:p>
      <w:pPr>
        <w:pStyle w:val="Heading2"/>
        <w:ind w:firstLine="0"/>
        <w:jc w:val="left"/>
      </w:pPr>
      <w:r>
        <w:rPr>
          <w:rFonts w:ascii="Times New Roman" w:hAnsi="Times New Roman"/>
          <w:b/>
          <w:i/>
          <w:sz w:val="24"/>
        </w:rPr>
        <w:t>Accommodation Approval Does Not Resolve Implementation and Continuity</w:t>
      </w:r>
    </w:p>
    <w:p>
      <w:pPr>
        <w:spacing w:line="480" w:lineRule="auto" w:after="0"/>
        <w:ind w:firstLine="720"/>
        <w:jc w:val="left"/>
      </w:pPr>
      <w:r>
        <w:rPr>
          <w:rFonts w:ascii="Times New Roman" w:hAnsi="Times New Roman"/>
          <w:b w:val="0"/>
          <w:i w:val="0"/>
          <w:sz w:val="24"/>
        </w:rPr>
        <w:t>The strongest recurring gap concerns what happens after a support is approved. Studies indicate that accommodation use and functioning can vary and that implementation may require continuing coordination, communication, and adjustment (Blasey et al., 2023; Edwards et al., 2022; Tufty et al., 2024). Postsecondary systems commonly provide eligibility review, accommodation letters, semester activation or renewal, faculty communication, and escalation routes. These mechanisms should not be characterized as absent. The residual question is whether students have an accessible way to monitor whether a support was actually available, usable, and appropriate in a particular context and to prepare for human follow-up when it was not.</w:t>
      </w:r>
    </w:p>
    <w:p>
      <w:pPr>
        <w:pStyle w:val="Heading2"/>
        <w:ind w:firstLine="0"/>
        <w:jc w:val="left"/>
      </w:pPr>
      <w:r>
        <w:rPr>
          <w:rFonts w:ascii="Times New Roman" w:hAnsi="Times New Roman"/>
          <w:b/>
          <w:i/>
          <w:sz w:val="24"/>
        </w:rPr>
        <w:t>Assistive Technology Works Best When Need, Tool, Training, and Context Align</w:t>
      </w:r>
    </w:p>
    <w:p>
      <w:pPr>
        <w:spacing w:line="480" w:lineRule="auto" w:after="0"/>
        <w:ind w:firstLine="720"/>
        <w:jc w:val="left"/>
      </w:pPr>
      <w:r>
        <w:rPr>
          <w:rFonts w:ascii="Times New Roman" w:hAnsi="Times New Roman"/>
          <w:b w:val="0"/>
          <w:i w:val="0"/>
          <w:sz w:val="24"/>
        </w:rPr>
        <w:t>The assistive-technology literature cautions against technology-first design. McNicholl et al. (2021) found positive academic and psychosocial effects across portions of the higher-education literature, while McNicholl et al. (2023) reported differences associated with met and unmet assistive-technology needs. These findings support technology as part of an access ecosystem, but they do not justify assuming that a specific tool will benefit every student. Selection, training, affordability, compatibility, and ongoing support remain central implementation concerns.</w:t>
      </w:r>
    </w:p>
    <w:p>
      <w:pPr>
        <w:pStyle w:val="Heading2"/>
        <w:ind w:firstLine="0"/>
        <w:jc w:val="left"/>
      </w:pPr>
      <w:r>
        <w:rPr>
          <w:rFonts w:ascii="Times New Roman" w:hAnsi="Times New Roman"/>
          <w:b/>
          <w:i/>
          <w:sz w:val="24"/>
        </w:rPr>
        <w:t>Universal Design Must Apply to the Access Process Itself</w:t>
      </w:r>
    </w:p>
    <w:p>
      <w:pPr>
        <w:spacing w:line="480" w:lineRule="auto" w:after="0"/>
        <w:ind w:firstLine="720"/>
        <w:jc w:val="left"/>
      </w:pPr>
      <w:r>
        <w:rPr>
          <w:rFonts w:ascii="Times New Roman" w:hAnsi="Times New Roman"/>
          <w:b w:val="0"/>
          <w:i w:val="0"/>
          <w:sz w:val="24"/>
        </w:rPr>
        <w:t>Universal Design and cognitive accessibility are not merely features of a future product; they are criteria for evaluating the entire support pathway. Information can be technically available while still imposing high cognitive or executive-function demands. Clear structure, manageable information chunks, predictable navigation, multiple means of interaction where feasible, and meaningful user control are therefore relevant to disability-resource processes as well as to course design (Cumming &amp; Rose, 2022; Li et al., 2026). Faculty development also matters because implementation occurs in instructional settings, not only in disability-resource offices. Faculty training that addresses disability law, inclusive teaching, accessible materials, and student perspectives can strengthen the institutional conditions in which accommodations are implemented (Hsiao et al., 2019).</w:t>
      </w:r>
    </w:p>
    <w:p>
      <w:pPr>
        <w:pStyle w:val="Heading2"/>
        <w:ind w:firstLine="0"/>
        <w:jc w:val="left"/>
      </w:pPr>
      <w:r>
        <w:rPr>
          <w:rFonts w:ascii="Times New Roman" w:hAnsi="Times New Roman"/>
          <w:b/>
          <w:i/>
          <w:sz w:val="24"/>
        </w:rPr>
        <w:t>Generative AI Has Bounded Potential but Does Not Define the Gap</w:t>
      </w:r>
    </w:p>
    <w:p>
      <w:pPr>
        <w:spacing w:line="480" w:lineRule="auto" w:after="0"/>
        <w:ind w:firstLine="720"/>
        <w:jc w:val="left"/>
      </w:pPr>
      <w:r>
        <w:rPr>
          <w:rFonts w:ascii="Times New Roman" w:hAnsi="Times New Roman"/>
          <w:b w:val="0"/>
          <w:i w:val="0"/>
          <w:sz w:val="24"/>
        </w:rPr>
        <w:t>Disabled students are already using generative AI for writing, reading, research, planning, and organization while also reporting concerns about accuracy, academic integrity, policy, cost, accessibility, and the continuing need for human support (Pierrès et al., 2025; Zhao et al., 2025, 2026). Coughlan and Iniesto (2025) show that conversational technology can be incorporated into disability-information processes when capability boundaries and institutional integration are explicit. Critical disability scholarship also warns that AI systems can reproduce ableist assumptions when they normalize particular forms of communication or performance (Foley &amp; Melese, 2025). The present evidence therefore supports bounded functions such as organizing student-entered information, generating editable questions, rewriting information in clearer language, and assisting navigation to verified resources. It does not support autonomous diagnosis, accommodation prescription, legal interpretation, or treating inferred functional barriers as fact.</w:t>
      </w:r>
    </w:p>
    <w:p>
      <w:pPr>
        <w:keepNext/>
        <w:spacing w:line="240" w:lineRule="auto"/>
        <w:ind w:firstLine="0"/>
      </w:pPr>
      <w:r>
        <w:rPr>
          <w:b/>
        </w:rPr>
        <w:t>Table 1</w:t>
      </w:r>
    </w:p>
    <w:p>
      <w:pPr>
        <w:keepNext/>
        <w:spacing w:line="240" w:lineRule="auto"/>
        <w:ind w:firstLine="0"/>
      </w:pPr>
      <w:r>
        <w:rPr>
          <w:i/>
        </w:rPr>
        <w:t>Resource-to-Access Gaps Identified in the Analysis</w:t>
      </w:r>
    </w:p>
    <w:tbl>
      <w:tblPr>
        <w:tblStyle w:val="TableGrid"/>
        <w:tblW w:type="auto" w:w="0"/>
        <w:jc w:val="center"/>
        <w:tblLook w:firstColumn="1" w:firstRow="1" w:lastColumn="0" w:lastRow="0" w:noHBand="0" w:noVBand="1" w:val="04A0"/>
        <w:tblLayout w:type="fixed"/>
        <w:tblCellMar>
          <w:top w:w="80" w:type="dxa"/>
          <w:left w:w="80" w:type="dxa"/>
          <w:bottom w:w="80" w:type="dxa"/>
          <w:right w:w="80" w:type="dxa"/>
        </w:tblCellMar>
      </w:tblPr>
      <w:tblGrid>
        <w:gridCol w:w="3120"/>
        <w:gridCol w:w="3120"/>
        <w:gridCol w:w="3120"/>
      </w:tblGrid>
      <w:tr>
        <w:tc>
          <w:tcPr>
            <w:tcW w:type="dxa" w:w="3096"/>
            <w:vAlign w:val="center"/>
          </w:tcPr>
          <w:p>
            <w:pPr>
              <w:spacing w:line="276" w:lineRule="auto" w:after="60"/>
              <w:ind w:firstLine="0"/>
            </w:pPr>
            <w:r>
              <w:rPr>
                <w:rFonts w:ascii="Times New Roman" w:hAnsi="Times New Roman"/>
                <w:b/>
                <w:sz w:val="21"/>
              </w:rPr>
              <w:t>Observed condition</w:t>
            </w:r>
          </w:p>
        </w:tc>
        <w:tc>
          <w:tcPr>
            <w:tcW w:type="dxa" w:w="3096"/>
            <w:vAlign w:val="center"/>
          </w:tcPr>
          <w:p>
            <w:pPr>
              <w:spacing w:line="276" w:lineRule="auto" w:after="60"/>
              <w:ind w:firstLine="0"/>
            </w:pPr>
            <w:r>
              <w:rPr>
                <w:rFonts w:ascii="Times New Roman" w:hAnsi="Times New Roman"/>
                <w:b/>
                <w:sz w:val="21"/>
              </w:rPr>
              <w:t>Residual gap</w:t>
            </w:r>
          </w:p>
        </w:tc>
        <w:tc>
          <w:tcPr>
            <w:tcW w:type="dxa" w:w="3168"/>
            <w:vAlign w:val="center"/>
          </w:tcPr>
          <w:p>
            <w:pPr>
              <w:spacing w:line="276" w:lineRule="auto" w:after="60"/>
              <w:ind w:firstLine="0"/>
            </w:pPr>
            <w:r>
              <w:rPr>
                <w:rFonts w:ascii="Times New Roman" w:hAnsi="Times New Roman"/>
                <w:b/>
                <w:sz w:val="21"/>
              </w:rPr>
              <w:t>Publication implication</w:t>
            </w:r>
          </w:p>
        </w:tc>
      </w:tr>
      <w:tr>
        <w:tc>
          <w:tcPr>
            <w:tcW w:type="dxa" w:w="3096"/>
            <w:vAlign w:val="center"/>
          </w:tcPr>
          <w:p>
            <w:pPr>
              <w:spacing w:line="276" w:lineRule="auto" w:after="60"/>
              <w:ind w:firstLine="0"/>
            </w:pPr>
            <w:r>
              <w:rPr>
                <w:rFonts w:ascii="Times New Roman" w:hAnsi="Times New Roman"/>
                <w:sz w:val="21"/>
              </w:rPr>
              <w:t>Substantial federal, professional, and campus information</w:t>
            </w:r>
          </w:p>
        </w:tc>
        <w:tc>
          <w:tcPr>
            <w:tcW w:type="dxa" w:w="3096"/>
            <w:vAlign w:val="center"/>
          </w:tcPr>
          <w:p>
            <w:pPr>
              <w:spacing w:line="276" w:lineRule="auto" w:after="60"/>
              <w:ind w:firstLine="0"/>
            </w:pPr>
            <w:r>
              <w:rPr>
                <w:rFonts w:ascii="Times New Roman" w:hAnsi="Times New Roman"/>
                <w:sz w:val="21"/>
              </w:rPr>
              <w:t>Fragmented navigation and search burden</w:t>
            </w:r>
          </w:p>
        </w:tc>
        <w:tc>
          <w:tcPr>
            <w:tcW w:type="dxa" w:w="3168"/>
            <w:vAlign w:val="center"/>
          </w:tcPr>
          <w:p>
            <w:pPr>
              <w:spacing w:line="276" w:lineRule="auto" w:after="60"/>
              <w:ind w:firstLine="0"/>
            </w:pPr>
            <w:r>
              <w:rPr>
                <w:rFonts w:ascii="Times New Roman" w:hAnsi="Times New Roman"/>
                <w:sz w:val="21"/>
              </w:rPr>
              <w:t>Evaluate coherence of pathways, not simply resource counts.</w:t>
            </w:r>
          </w:p>
        </w:tc>
      </w:tr>
      <w:tr>
        <w:tc>
          <w:tcPr>
            <w:tcW w:type="dxa" w:w="3096"/>
            <w:vAlign w:val="center"/>
          </w:tcPr>
          <w:p>
            <w:pPr>
              <w:spacing w:line="276" w:lineRule="auto" w:after="60"/>
              <w:ind w:firstLine="0"/>
            </w:pPr>
            <w:r>
              <w:rPr>
                <w:rFonts w:ascii="Times New Roman" w:hAnsi="Times New Roman"/>
                <w:sz w:val="21"/>
              </w:rPr>
              <w:t>Transition guidance explains roles and responsibilities</w:t>
            </w:r>
          </w:p>
        </w:tc>
        <w:tc>
          <w:tcPr>
            <w:tcW w:type="dxa" w:w="3096"/>
            <w:vAlign w:val="center"/>
          </w:tcPr>
          <w:p>
            <w:pPr>
              <w:spacing w:line="276" w:lineRule="auto" w:after="60"/>
              <w:ind w:firstLine="0"/>
            </w:pPr>
            <w:r>
              <w:rPr>
                <w:rFonts w:ascii="Times New Roman" w:hAnsi="Times New Roman"/>
                <w:sz w:val="21"/>
              </w:rPr>
              <w:t>Limited translation from general guidance to immediate action</w:t>
            </w:r>
          </w:p>
        </w:tc>
        <w:tc>
          <w:tcPr>
            <w:tcW w:type="dxa" w:w="3168"/>
            <w:vAlign w:val="center"/>
          </w:tcPr>
          <w:p>
            <w:pPr>
              <w:spacing w:line="276" w:lineRule="auto" w:after="60"/>
              <w:ind w:firstLine="0"/>
            </w:pPr>
            <w:r>
              <w:rPr>
                <w:rFonts w:ascii="Times New Roman" w:hAnsi="Times New Roman"/>
                <w:sz w:val="21"/>
              </w:rPr>
              <w:t>Examine scaffolds that help students identify the next verified human step.</w:t>
            </w:r>
          </w:p>
        </w:tc>
      </w:tr>
      <w:tr>
        <w:tc>
          <w:tcPr>
            <w:tcW w:type="dxa" w:w="3096"/>
            <w:vAlign w:val="center"/>
          </w:tcPr>
          <w:p>
            <w:pPr>
              <w:spacing w:line="276" w:lineRule="auto" w:after="60"/>
              <w:ind w:firstLine="0"/>
            </w:pPr>
            <w:r>
              <w:rPr>
                <w:rFonts w:ascii="Times New Roman" w:hAnsi="Times New Roman"/>
                <w:sz w:val="21"/>
              </w:rPr>
              <w:t>Accommodation approval and renewal processes exist</w:t>
            </w:r>
          </w:p>
        </w:tc>
        <w:tc>
          <w:tcPr>
            <w:tcW w:type="dxa" w:w="3096"/>
            <w:vAlign w:val="center"/>
          </w:tcPr>
          <w:p>
            <w:pPr>
              <w:spacing w:line="276" w:lineRule="auto" w:after="60"/>
              <w:ind w:firstLine="0"/>
            </w:pPr>
            <w:r>
              <w:rPr>
                <w:rFonts w:ascii="Times New Roman" w:hAnsi="Times New Roman"/>
                <w:sz w:val="21"/>
              </w:rPr>
              <w:t>Implementation and follow-up remain student initiated in many contexts</w:t>
            </w:r>
          </w:p>
        </w:tc>
        <w:tc>
          <w:tcPr>
            <w:tcW w:type="dxa" w:w="3168"/>
            <w:vAlign w:val="center"/>
          </w:tcPr>
          <w:p>
            <w:pPr>
              <w:spacing w:line="276" w:lineRule="auto" w:after="60"/>
              <w:ind w:firstLine="0"/>
            </w:pPr>
            <w:r>
              <w:rPr>
                <w:rFonts w:ascii="Times New Roman" w:hAnsi="Times New Roman"/>
                <w:sz w:val="21"/>
              </w:rPr>
              <w:t>Focus on continuity after approval without implying that disability-resource offices lack processes.</w:t>
            </w:r>
          </w:p>
        </w:tc>
      </w:tr>
      <w:tr>
        <w:tc>
          <w:tcPr>
            <w:tcW w:type="dxa" w:w="3096"/>
            <w:vAlign w:val="center"/>
          </w:tcPr>
          <w:p>
            <w:pPr>
              <w:spacing w:line="276" w:lineRule="auto" w:after="60"/>
              <w:ind w:firstLine="0"/>
            </w:pPr>
            <w:r>
              <w:rPr>
                <w:rFonts w:ascii="Times New Roman" w:hAnsi="Times New Roman"/>
                <w:sz w:val="21"/>
              </w:rPr>
              <w:t>Assistive technologies are widely available</w:t>
            </w:r>
          </w:p>
        </w:tc>
        <w:tc>
          <w:tcPr>
            <w:tcW w:type="dxa" w:w="3096"/>
            <w:vAlign w:val="center"/>
          </w:tcPr>
          <w:p>
            <w:pPr>
              <w:spacing w:line="276" w:lineRule="auto" w:after="60"/>
              <w:ind w:firstLine="0"/>
            </w:pPr>
            <w:r>
              <w:rPr>
                <w:rFonts w:ascii="Times New Roman" w:hAnsi="Times New Roman"/>
                <w:sz w:val="21"/>
              </w:rPr>
              <w:t>Fit, training, affordability, and support vary</w:t>
            </w:r>
          </w:p>
        </w:tc>
        <w:tc>
          <w:tcPr>
            <w:tcW w:type="dxa" w:w="3168"/>
            <w:vAlign w:val="center"/>
          </w:tcPr>
          <w:p>
            <w:pPr>
              <w:spacing w:line="276" w:lineRule="auto" w:after="60"/>
              <w:ind w:firstLine="0"/>
            </w:pPr>
            <w:r>
              <w:rPr>
                <w:rFonts w:ascii="Times New Roman" w:hAnsi="Times New Roman"/>
                <w:sz w:val="21"/>
              </w:rPr>
              <w:t>Avoid technology-first conclusions; evaluate tool-task-context alignment.</w:t>
            </w:r>
          </w:p>
        </w:tc>
      </w:tr>
      <w:tr>
        <w:tc>
          <w:tcPr>
            <w:tcW w:type="dxa" w:w="3096"/>
            <w:vAlign w:val="center"/>
          </w:tcPr>
          <w:p>
            <w:pPr>
              <w:spacing w:line="276" w:lineRule="auto" w:after="60"/>
              <w:ind w:firstLine="0"/>
            </w:pPr>
            <w:r>
              <w:rPr>
                <w:rFonts w:ascii="Times New Roman" w:hAnsi="Times New Roman"/>
                <w:sz w:val="21"/>
              </w:rPr>
              <w:t>Universal Design frameworks are established</w:t>
            </w:r>
          </w:p>
        </w:tc>
        <w:tc>
          <w:tcPr>
            <w:tcW w:type="dxa" w:w="3096"/>
            <w:vAlign w:val="center"/>
          </w:tcPr>
          <w:p>
            <w:pPr>
              <w:spacing w:line="276" w:lineRule="auto" w:after="60"/>
              <w:ind w:firstLine="0"/>
            </w:pPr>
            <w:r>
              <w:rPr>
                <w:rFonts w:ascii="Times New Roman" w:hAnsi="Times New Roman"/>
                <w:sz w:val="21"/>
              </w:rPr>
              <w:t>Access processes themselves may remain cognitively demanding</w:t>
            </w:r>
          </w:p>
        </w:tc>
        <w:tc>
          <w:tcPr>
            <w:tcW w:type="dxa" w:w="3168"/>
            <w:vAlign w:val="center"/>
          </w:tcPr>
          <w:p>
            <w:pPr>
              <w:spacing w:line="276" w:lineRule="auto" w:after="60"/>
              <w:ind w:firstLine="0"/>
            </w:pPr>
            <w:r>
              <w:rPr>
                <w:rFonts w:ascii="Times New Roman" w:hAnsi="Times New Roman"/>
                <w:sz w:val="21"/>
              </w:rPr>
              <w:t>Apply accessibility criteria to forms, instructions, navigation, and communication.</w:t>
            </w:r>
          </w:p>
        </w:tc>
      </w:tr>
      <w:tr>
        <w:tc>
          <w:tcPr>
            <w:tcW w:type="dxa" w:w="3096"/>
            <w:vAlign w:val="center"/>
          </w:tcPr>
          <w:p>
            <w:pPr>
              <w:spacing w:line="276" w:lineRule="auto" w:after="60"/>
              <w:ind w:firstLine="0"/>
            </w:pPr>
            <w:r>
              <w:rPr>
                <w:rFonts w:ascii="Times New Roman" w:hAnsi="Times New Roman"/>
                <w:sz w:val="21"/>
              </w:rPr>
              <w:t>Generative AI can support communication and organization</w:t>
            </w:r>
          </w:p>
        </w:tc>
        <w:tc>
          <w:tcPr>
            <w:tcW w:type="dxa" w:w="3096"/>
            <w:vAlign w:val="center"/>
          </w:tcPr>
          <w:p>
            <w:pPr>
              <w:spacing w:line="276" w:lineRule="auto" w:after="60"/>
              <w:ind w:firstLine="0"/>
            </w:pPr>
            <w:r>
              <w:rPr>
                <w:rFonts w:ascii="Times New Roman" w:hAnsi="Times New Roman"/>
                <w:sz w:val="21"/>
              </w:rPr>
              <w:t>Risk of overreach, inaccuracy, privacy problems, and replacement of human authority</w:t>
            </w:r>
          </w:p>
        </w:tc>
        <w:tc>
          <w:tcPr>
            <w:tcW w:type="dxa" w:w="3168"/>
            <w:vAlign w:val="center"/>
          </w:tcPr>
          <w:p>
            <w:pPr>
              <w:spacing w:line="276" w:lineRule="auto" w:after="60"/>
              <w:ind w:firstLine="0"/>
            </w:pPr>
            <w:r>
              <w:rPr>
                <w:rFonts w:ascii="Times New Roman" w:hAnsi="Times New Roman"/>
                <w:sz w:val="21"/>
              </w:rPr>
              <w:t>Limit AI to transparent, editable, student-controlled support functions.</w:t>
            </w:r>
          </w:p>
        </w:tc>
      </w:tr>
    </w:tbl>
    <w:p>
      <w:pPr>
        <w:pStyle w:val="Heading1"/>
        <w:ind w:firstLine="0"/>
        <w:jc w:val="center"/>
      </w:pPr>
      <w:r>
        <w:rPr>
          <w:rFonts w:ascii="Times New Roman" w:hAnsi="Times New Roman"/>
          <w:b/>
          <w:sz w:val="24"/>
        </w:rPr>
        <w:t>Discussion</w:t>
      </w:r>
    </w:p>
    <w:p>
      <w:pPr>
        <w:pStyle w:val="Heading2"/>
        <w:ind w:firstLine="0"/>
        <w:jc w:val="left"/>
      </w:pPr>
      <w:r>
        <w:rPr>
          <w:rFonts w:ascii="Times New Roman" w:hAnsi="Times New Roman"/>
          <w:b/>
          <w:i/>
          <w:sz w:val="24"/>
        </w:rPr>
        <w:t>A Continuity Problem Rather Than an Information Deficit</w:t>
      </w:r>
    </w:p>
    <w:p>
      <w:pPr>
        <w:spacing w:line="480" w:lineRule="auto" w:after="0"/>
        <w:ind w:firstLine="720"/>
        <w:jc w:val="left"/>
      </w:pPr>
      <w:r>
        <w:rPr>
          <w:rFonts w:ascii="Times New Roman" w:hAnsi="Times New Roman"/>
          <w:b w:val="0"/>
          <w:i w:val="0"/>
          <w:sz w:val="24"/>
        </w:rPr>
        <w:t>The principal contribution of this analysis is a narrower gap statement than is common in technology-oriented problem framing. The mapped landscape does not support a claim that students with disabilities lack information, disability-resource systems, transition guidance, accommodations, or technology. Instead, the recurring problem concerns continuity across those resources. Students may still bear substantial responsibility for translating a current experience into an understandable description, locating the appropriate verified process, implementing an approved support, and determining whether that support remains usable as tasks and environments change.</w:t>
      </w:r>
    </w:p>
    <w:p>
      <w:pPr>
        <w:spacing w:line="480" w:lineRule="auto" w:after="0"/>
        <w:ind w:firstLine="720"/>
        <w:jc w:val="left"/>
      </w:pPr>
      <w:r>
        <w:rPr>
          <w:rFonts w:ascii="Times New Roman" w:hAnsi="Times New Roman"/>
          <w:b w:val="0"/>
          <w:i w:val="0"/>
          <w:sz w:val="24"/>
        </w:rPr>
        <w:t>This distinction is important for both scholarship and product development. It reduces the risk of duplicating existing disability-resource functions and shifts attention toward the coordination burden placed on students. It also reframes self-advocacy as a relational and institutional process rather than as an individual trait. Students can be expected to develop agency without being expected to independently solve fragmented systems.</w:t>
      </w:r>
    </w:p>
    <w:p>
      <w:pPr>
        <w:pStyle w:val="Heading2"/>
        <w:ind w:firstLine="0"/>
      </w:pPr>
      <w:r>
        <w:t>Access Continuity as an Analytic Concept</w:t>
      </w:r>
    </w:p>
    <w:p>
      <w:pPr/>
      <w:r>
        <w:t>Access continuity is used here as an analytic concept for the extent to which a student can move from recognizing an access barrier to identifying a relevant resource, communicating the barrier, obtaining or activating an approved support, implementing that support in context, and reviewing whether it remains usable over time. The concept does not imply that one office or technology should control every step. Rather, it focuses attention on the quality of handoffs among student knowledge, institutional procedures, instructional implementation, technology, and follow-up. A continuity lens therefore shifts evaluation from whether individual resources exist to whether the overall pathway is understandable, navigable, and capable of supporting adjustment when circumstances change.</w:t>
      </w:r>
    </w:p>
    <w:p>
      <w:pPr>
        <w:pStyle w:val="Heading2"/>
        <w:ind w:firstLine="0"/>
        <w:jc w:val="left"/>
      </w:pPr>
      <w:r>
        <w:rPr>
          <w:rFonts w:ascii="Times New Roman" w:hAnsi="Times New Roman"/>
          <w:b/>
          <w:i/>
          <w:sz w:val="24"/>
        </w:rPr>
        <w:t>Practical Implications for Postsecondary Disability Professionals</w:t>
      </w:r>
    </w:p>
    <w:p>
      <w:pPr>
        <w:spacing w:line="480" w:lineRule="auto" w:after="0"/>
        <w:ind w:firstLine="720"/>
        <w:jc w:val="left"/>
      </w:pPr>
      <w:r>
        <w:rPr>
          <w:rFonts w:ascii="Times New Roman" w:hAnsi="Times New Roman"/>
          <w:b w:val="0"/>
          <w:i w:val="0"/>
          <w:sz w:val="24"/>
        </w:rPr>
        <w:t>For disability-resource professionals, the findings suggest value in examining the entire student pathway rather than isolated administrative steps. Registration, documentation review, accommodation approval, faculty notification, renewal, and escalation may each function appropriately while still requiring the student to integrate them across courses and changing contexts. Practical improvements may therefore include clearer handoffs, cognitively accessible instructions, structured implementation check-ins, explicit escalation pathways, and tools that help students prepare concise descriptions of barriers and questions for human professionals.</w:t>
      </w:r>
    </w:p>
    <w:p>
      <w:pPr>
        <w:spacing w:line="480" w:lineRule="auto" w:after="0"/>
        <w:ind w:firstLine="720"/>
        <w:jc w:val="left"/>
      </w:pPr>
      <w:r>
        <w:rPr>
          <w:rFonts w:ascii="Times New Roman" w:hAnsi="Times New Roman"/>
          <w:b w:val="0"/>
          <w:i w:val="0"/>
          <w:sz w:val="24"/>
        </w:rPr>
        <w:t>The findings also support stronger partnerships between disability-resource offices and faculty-development, teaching-and-learning, advising, information-technology, and student-affairs units. Faculty development can strengthen accommodation implementation and accessible course design, reducing the extent to which every access problem must be solved through an individual accommodation request (Hsiao et al., 2019).</w:t>
      </w:r>
    </w:p>
    <w:p>
      <w:pPr>
        <w:pStyle w:val="Heading2"/>
        <w:ind w:firstLine="0"/>
        <w:jc w:val="left"/>
      </w:pPr>
      <w:r>
        <w:rPr>
          <w:rFonts w:ascii="Times New Roman" w:hAnsi="Times New Roman"/>
          <w:b/>
          <w:i/>
          <w:sz w:val="24"/>
        </w:rPr>
        <w:t>Implications for Transition Practice</w:t>
      </w:r>
    </w:p>
    <w:p>
      <w:pPr>
        <w:spacing w:line="480" w:lineRule="auto" w:after="0"/>
        <w:ind w:firstLine="720"/>
        <w:jc w:val="left"/>
      </w:pPr>
      <w:r>
        <w:rPr>
          <w:rFonts w:ascii="Times New Roman" w:hAnsi="Times New Roman"/>
          <w:b w:val="0"/>
          <w:i w:val="0"/>
          <w:sz w:val="24"/>
        </w:rPr>
        <w:t>Secondary-to-postsecondary transition preparation should extend beyond informing students that the legal framework changes after high school. Students need supported practice in identifying barriers, explaining what helps, locating verified resources, deciding when disclosure may be necessary, communicating with unfamiliar professionals, and recognizing when an approved support is not functioning as intended. Transition preparation is therefore best understood as a gradual transfer of participation and leadership rather than a one-time transfer of documents.</w:t>
      </w:r>
    </w:p>
    <w:p>
      <w:pPr>
        <w:pStyle w:val="Heading2"/>
        <w:ind w:firstLine="0"/>
        <w:jc w:val="left"/>
      </w:pPr>
      <w:r>
        <w:rPr>
          <w:rFonts w:ascii="Times New Roman" w:hAnsi="Times New Roman"/>
          <w:b/>
          <w:i/>
          <w:sz w:val="24"/>
        </w:rPr>
        <w:t>Implications for Technology and AI-Supported Access</w:t>
      </w:r>
    </w:p>
    <w:p>
      <w:pPr>
        <w:spacing w:line="480" w:lineRule="auto" w:after="0"/>
        <w:ind w:firstLine="720"/>
        <w:jc w:val="left"/>
      </w:pPr>
      <w:r>
        <w:rPr>
          <w:rFonts w:ascii="Times New Roman" w:hAnsi="Times New Roman"/>
          <w:b w:val="0"/>
          <w:i w:val="0"/>
          <w:sz w:val="24"/>
        </w:rPr>
        <w:t>Technology should be considered only after a gap is established. A defensible digital response would complement existing disability-resource systems, preserve student control, and direct users toward verified human processes. Potential functions include organization, plain-language translation, question preparation, resource navigation, implementation reflection, and student-controlled summaries. These functions are substantially different from diagnosis, eligibility determination, legal interpretation, or automated accommodation selection. The latter remain outside the evidence supported by this review.</w:t>
      </w:r>
    </w:p>
    <w:p>
      <w:pPr>
        <w:pStyle w:val="Heading1"/>
        <w:ind w:firstLine="0"/>
        <w:jc w:val="center"/>
      </w:pPr>
      <w:r>
        <w:rPr>
          <w:rFonts w:ascii="Times New Roman" w:hAnsi="Times New Roman"/>
          <w:b/>
          <w:sz w:val="24"/>
        </w:rPr>
        <w:t>Limitations</w:t>
      </w:r>
    </w:p>
    <w:p>
      <w:pPr>
        <w:spacing w:line="480" w:lineRule="auto" w:after="0"/>
        <w:ind w:firstLine="720"/>
        <w:jc w:val="left"/>
      </w:pPr>
      <w:r>
        <w:rPr>
          <w:rFonts w:ascii="Times New Roman" w:hAnsi="Times New Roman"/>
          <w:b w:val="0"/>
          <w:i w:val="0"/>
          <w:sz w:val="24"/>
        </w:rPr>
        <w:t>This resource map is structured and purposive rather than an exhaustive national inventory. Institutional examples demonstrate variation in practice but cannot establish prevalence across U.S. colleges and universities. Resource availability changes over time, and web-based guidance may be updated independently of the peer-reviewed literature. Evidence about assistive technology and generative AI also spans heterogeneous disability populations and use cases. Accordingly, the analysis distinguishes resource presence from effectiveness, national guidance from local practice, empirical evidence from professional guidance, and demonstrated needs from proposed design responses.</w:t>
      </w:r>
    </w:p>
    <w:p>
      <w:pPr>
        <w:spacing w:line="480" w:lineRule="auto" w:after="0"/>
        <w:ind w:firstLine="720"/>
        <w:jc w:val="left"/>
      </w:pPr>
      <w:r>
        <w:t>Because the analysis is structured and purposive, conclusions are limited to patterns supported by the retained evidence and mapped resources. The review does not establish national prevalence, compare institutions systematically, or test whether any proposed technology or workflow improves student outcomes. Future research could extend the framework through a preregistered scoping review, multi-institutional implementation study, or direct evaluation of student and professional experiences with access-continuity supports.</w:t>
      </w:r>
    </w:p>
    <w:p>
      <w:pPr>
        <w:pStyle w:val="Heading1"/>
        <w:ind w:firstLine="0"/>
        <w:jc w:val="center"/>
      </w:pPr>
      <w:r>
        <w:rPr>
          <w:rFonts w:ascii="Times New Roman" w:hAnsi="Times New Roman"/>
          <w:b/>
          <w:sz w:val="24"/>
        </w:rPr>
        <w:t>Conclusion</w:t>
      </w:r>
    </w:p>
    <w:p>
      <w:pPr>
        <w:spacing w:line="480" w:lineRule="auto" w:after="0"/>
        <w:ind w:firstLine="720"/>
        <w:jc w:val="left"/>
      </w:pPr>
      <w:r>
        <w:rPr>
          <w:rFonts w:ascii="Times New Roman" w:hAnsi="Times New Roman"/>
          <w:b w:val="0"/>
          <w:i w:val="0"/>
          <w:sz w:val="24"/>
        </w:rPr>
        <w:t>Postsecondary disability access is not limited by the absence of resources alone. Students with nonapparent disabilities may encounter a more subtle problem: existing guidance, institutional processes, accommodations, and technologies do not always function as one coherent pathway from recognized need to usable access. The strongest residual gaps identified in this analysis involve navigation fragmentation, translation of information into action, implementation continuity, cognitive accessibility, technology fit, and the burden placed on students to coordinate follow-up across systems.</w:t>
      </w:r>
    </w:p>
    <w:p>
      <w:pPr>
        <w:spacing w:line="480" w:lineRule="auto" w:after="0"/>
        <w:ind w:firstLine="720"/>
        <w:jc w:val="left"/>
      </w:pPr>
      <w:r>
        <w:t>Institutional practices and digital tools should therefore be judged by whether they reduce rather than add coordination burden, preserve appropriate human authority, strengthen student agency, and improve continuity between information, action, implementation, and review. The access-continuity framework provides a basis for future research and for the cautious design of student-centered transition and navigation supports without assuming that technology itself is the intervention.</w:t>
      </w:r>
    </w:p>
    <w:p>
      <w:pPr>
        <w:pStyle w:val="Heading1"/>
        <w:ind w:firstLine="0"/>
        <w:jc w:val="center"/>
      </w:pPr>
      <w:r>
        <w:rPr>
          <w:rFonts w:ascii="Times New Roman" w:hAnsi="Times New Roman"/>
          <w:b/>
          <w:sz w:val="24"/>
        </w:rPr>
        <w:t>References</w:t>
      </w:r>
    </w:p>
    <w:p>
      <w:pPr>
        <w:spacing w:line="480" w:lineRule="auto" w:after="0"/>
        <w:ind w:left="720" w:hanging="720"/>
      </w:pPr>
      <w:r>
        <w:rPr>
          <w:rFonts w:ascii="Times New Roman" w:hAnsi="Times New Roman"/>
          <w:sz w:val="24"/>
        </w:rPr>
        <w:t>Blasey, J., Wang, C., &amp; Blasey, R. (2023). Accommodation use and academic outcomes for college students with disabilities. Psychological Reports, 126(4), 1891–1909. https://doi.org/10.1177/00332941221078011</w:t>
      </w:r>
    </w:p>
    <w:p>
      <w:pPr>
        <w:spacing w:line="480" w:lineRule="auto" w:after="0"/>
        <w:ind w:left="720" w:hanging="720"/>
      </w:pPr>
      <w:r>
        <w:rPr>
          <w:rFonts w:ascii="Times New Roman" w:hAnsi="Times New Roman"/>
          <w:sz w:val="24"/>
        </w:rPr>
        <w:t>CAST. (2024). CAST Universal Design for Learning Guidelines version 3.0. https://udlguidelines.cast.org</w:t>
      </w:r>
    </w:p>
    <w:p>
      <w:pPr>
        <w:spacing w:line="480" w:lineRule="auto" w:after="0"/>
        <w:ind w:left="720" w:hanging="720"/>
      </w:pPr>
      <w:r>
        <w:rPr>
          <w:rFonts w:ascii="Times New Roman" w:hAnsi="Times New Roman"/>
          <w:sz w:val="24"/>
        </w:rPr>
        <w:t>Cho, J. I., &amp; Jones, K. (2024). How do college students with disabilities do? Law, self-determination, self-advocacy, and campus resources. Journal of the Scholarship of Teaching and Learning, 24(3), 68–86. https://doi.org/10.14434/josotl.v24i3.35703</w:t>
      </w:r>
    </w:p>
    <w:p>
      <w:pPr>
        <w:spacing w:line="480" w:lineRule="auto" w:after="0"/>
        <w:ind w:left="720" w:hanging="720"/>
      </w:pPr>
      <w:r>
        <w:rPr>
          <w:rFonts w:ascii="Times New Roman" w:hAnsi="Times New Roman"/>
          <w:sz w:val="24"/>
        </w:rPr>
        <w:t>Coughlan, T., &amp; Iniesto, F. (2025). What should I know? Analysing behaviour and feedback from student use of a virtual assistant to share information about disabilities. The Internet and Higher Education, 66, Article 101002. https://doi.org/10.1016/j.iheduc.2025.101002</w:t>
      </w:r>
    </w:p>
    <w:p>
      <w:pPr>
        <w:spacing w:line="480" w:lineRule="auto" w:after="0"/>
        <w:ind w:left="720" w:hanging="720"/>
      </w:pPr>
      <w:r>
        <w:rPr>
          <w:rFonts w:ascii="Times New Roman" w:hAnsi="Times New Roman"/>
          <w:sz w:val="24"/>
        </w:rPr>
        <w:t>Cumming, T. M., &amp; Rose, M. C. (2022). Exploring universal design for learning as an accessibility tool in higher education: A review of the current literature. The Australian Educational Researcher, 49(5), 1025–1043. https://doi.org/10.1007/s13384-021-00471-7</w:t>
      </w:r>
    </w:p>
    <w:p>
      <w:pPr>
        <w:spacing w:line="480" w:lineRule="auto" w:after="0"/>
        <w:ind w:left="720" w:hanging="720"/>
      </w:pPr>
      <w:r>
        <w:rPr>
          <w:rFonts w:ascii="Times New Roman" w:hAnsi="Times New Roman"/>
          <w:sz w:val="24"/>
        </w:rPr>
        <w:t>Edwards, M., Poed, S., Al-Nawab, H., &amp; Penna, O. (2022). Academic accommodations for university students living with disability and the potential of universal design to address their needs. Higher Education, 84(4), 779–799. https://doi.org/10.1007/s10734-021-00800-w</w:t>
      </w:r>
    </w:p>
    <w:p>
      <w:pPr>
        <w:spacing w:line="480" w:lineRule="auto" w:after="0"/>
        <w:ind w:left="720" w:hanging="720"/>
      </w:pPr>
      <w:r>
        <w:rPr>
          <w:rFonts w:ascii="Times New Roman" w:hAnsi="Times New Roman"/>
          <w:sz w:val="24"/>
        </w:rPr>
        <w:t>Foley, A., &amp; Melese, F. (2025). Disabling AI: Power, exclusion, and disability. British Journal of Sociology of Education. Advance online publication. https://doi.org/10.1080/01425692.2025.2519482</w:t>
      </w:r>
    </w:p>
    <w:p>
      <w:pPr>
        <w:spacing w:line="480" w:lineRule="auto" w:after="0"/>
        <w:ind w:left="720" w:hanging="720"/>
      </w:pPr>
      <w:r>
        <w:rPr>
          <w:rFonts w:ascii="Times New Roman" w:hAnsi="Times New Roman"/>
          <w:sz w:val="24"/>
        </w:rPr>
        <w:t>Hsiao, F., Burgstahler, S., Johnson, T., Nuss, D., &amp; Doherty, M. (2019). Promoting an accessible learning environment for students with disabilities via faculty development. Journal of Postsecondary Education and Disability, 32(1), 91–99.</w:t>
      </w:r>
    </w:p>
    <w:p>
      <w:pPr>
        <w:spacing w:line="480" w:lineRule="auto" w:after="0"/>
        <w:ind w:left="720" w:hanging="720"/>
      </w:pPr>
      <w:r>
        <w:rPr>
          <w:rFonts w:ascii="Times New Roman" w:hAnsi="Times New Roman"/>
          <w:sz w:val="24"/>
        </w:rPr>
        <w:t>Kline, B., &amp; Davidson, D. L. (2022). College students with invisible illnesses and disabilities: Disclosure, hiding, and support. College Student Affairs Journal, 40(3), 121–135. https://doi.org/10.1353/csj.2022.0030</w:t>
      </w:r>
    </w:p>
    <w:p>
      <w:pPr>
        <w:spacing w:line="480" w:lineRule="auto" w:after="0"/>
        <w:ind w:left="720" w:hanging="720"/>
      </w:pPr>
      <w:r>
        <w:rPr>
          <w:rFonts w:ascii="Times New Roman" w:hAnsi="Times New Roman"/>
          <w:sz w:val="24"/>
        </w:rPr>
        <w:t>Li, Y.-F., Zhang, D., Dulas, H. M., &amp; Whirley, M. L. (2026). Universal Design for Learning: Exploring perspectives of students with disabilities in higher education. International Journal of Disability, Development and Education, 73(5), 913–928. https://doi.org/10.1080/1034912X.2025.2605018</w:t>
      </w:r>
    </w:p>
    <w:p>
      <w:pPr>
        <w:spacing w:line="480" w:lineRule="auto" w:after="0"/>
        <w:ind w:left="720" w:hanging="720"/>
      </w:pPr>
      <w:r>
        <w:rPr>
          <w:rFonts w:ascii="Times New Roman" w:hAnsi="Times New Roman"/>
          <w:sz w:val="24"/>
        </w:rPr>
        <w:t>McNicholl, A., Casey, H., Desmond, D., &amp; Gallagher, P. (2021). The impact of assistive technology use for students with disabilities in higher education: A systematic review. Disability and Rehabilitation: Assistive Technology, 16(2), 130–143. https://doi.org/10.1080/17483107.2019.1642395</w:t>
      </w:r>
    </w:p>
    <w:p>
      <w:pPr>
        <w:spacing w:line="480" w:lineRule="auto" w:after="0"/>
        <w:ind w:left="720" w:hanging="720"/>
      </w:pPr>
      <w:r>
        <w:rPr>
          <w:rFonts w:ascii="Times New Roman" w:hAnsi="Times New Roman"/>
          <w:sz w:val="24"/>
        </w:rPr>
        <w:t>McNicholl, A., Desmond, D., &amp; Gallagher, P. (2023). Assistive technologies, educational engagement and psychosocial outcomes among students with disabilities in higher education. Disability and Rehabilitation: Assistive Technology, 18(1), 50–58. https://doi.org/10.1080/17483107.2020.1854874</w:t>
      </w:r>
    </w:p>
    <w:p>
      <w:pPr>
        <w:spacing w:line="480" w:lineRule="auto" w:after="0"/>
        <w:ind w:left="720" w:hanging="720"/>
      </w:pPr>
      <w:r>
        <w:rPr>
          <w:rFonts w:ascii="Times New Roman" w:hAnsi="Times New Roman"/>
          <w:sz w:val="24"/>
        </w:rPr>
        <w:t>Melián, E., &amp; Meneses, J. (2022). Getting ahead in the online university: Disclosure experiences of students with apparent and hidden disabilities. International Journal of Educational Research, 114, Article 101991. https://doi.org/10.1016/j.ijer.2022.101991</w:t>
      </w:r>
    </w:p>
    <w:p>
      <w:pPr>
        <w:spacing w:line="480" w:lineRule="auto" w:after="0"/>
        <w:ind w:left="720" w:hanging="720"/>
      </w:pPr>
      <w:r>
        <w:rPr>
          <w:rFonts w:ascii="Times New Roman" w:hAnsi="Times New Roman"/>
          <w:sz w:val="24"/>
        </w:rPr>
        <w:t>Parsons, J. M., McColl, M. A., Martin, A., &amp; Reynard, D. (2023). Transition and accommodation experiences of students with disabilities: A qualitative study. Journal of Postsecondary Education and Disability, 36(2), 179–192.</w:t>
      </w:r>
    </w:p>
    <w:p>
      <w:pPr>
        <w:spacing w:line="480" w:lineRule="auto" w:after="0"/>
        <w:ind w:left="720" w:hanging="720"/>
      </w:pPr>
      <w:r>
        <w:rPr>
          <w:rFonts w:ascii="Times New Roman" w:hAnsi="Times New Roman"/>
          <w:sz w:val="24"/>
        </w:rPr>
        <w:t>Pierrès, O., Darvishy, A., &amp; Christen, M. (2025). Exploring the role of generative AI in higher education: Semi-structured interviews with students with disabilities. Education and Information Technologies, 30(7), 8923–8952. https://doi.org/10.1007/s10639-024-13134-8</w:t>
      </w:r>
    </w:p>
    <w:p>
      <w:pPr>
        <w:spacing w:line="480" w:lineRule="auto" w:after="0"/>
        <w:ind w:left="720" w:hanging="720"/>
      </w:pPr>
      <w:r>
        <w:rPr>
          <w:rFonts w:ascii="Times New Roman" w:hAnsi="Times New Roman"/>
          <w:sz w:val="24"/>
        </w:rPr>
        <w:t>Tufty, L. M., Gallagher, V. T., Oddo, L., Vasko, J., Chronis-Tuscano, A., &amp; Meinzer, M. (2024). Academic accommodations and functioning in college students with attention-deficit/hyperactivity disorder: Limitations, barriers, and suggestions for collaborators. Journal of Postsecondary Education and Disability, 37(1), 35–46.</w:t>
      </w:r>
    </w:p>
    <w:p>
      <w:pPr>
        <w:spacing w:line="480" w:lineRule="auto" w:after="0"/>
        <w:ind w:left="720" w:hanging="720"/>
      </w:pPr>
      <w:r>
        <w:rPr>
          <w:rFonts w:ascii="Times New Roman" w:hAnsi="Times New Roman"/>
          <w:sz w:val="24"/>
        </w:rPr>
        <w:t>Zhao, X., Chen, X., &amp; Cox, A. (2026). Exploring the affordances of generative AI in academic writing for students with disabilities: A bottom-up approach to inform GenAI policies. Policy Futures in Education, 24(1), 59–81. https://doi.org/10.1177/14782103251395436</w:t>
      </w:r>
    </w:p>
    <w:p>
      <w:pPr>
        <w:spacing w:line="480" w:lineRule="auto" w:after="0"/>
        <w:ind w:left="720" w:hanging="720"/>
      </w:pPr>
      <w:r>
        <w:rPr>
          <w:rFonts w:ascii="Times New Roman" w:hAnsi="Times New Roman"/>
          <w:sz w:val="24"/>
        </w:rPr>
        <w:t>Zhao, X., Cox, A., &amp; Chen, X. (2025). The use of generative AI by students with disabilities in higher education. The Internet and Higher Education, 66, Article 101014. https://doi.org/10.1016/j.iheduc.2025.101014</w:t>
      </w:r>
    </w:p>
    <w:sectPr w:rsidR="00FC693F" w:rsidRPr="0006063C" w:rsidSect="00034616">
      <w:footerReference w:type="default" r:id="rId9"/>
      <w:head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fldSimple w:instr="PAGE">
      <w:r>
        <w:t>1</w:t>
      </w:r>
    </w:fldSimple>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ind w:firstLine="7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line="480" w:lineRule="auto"/>
      <w:outlineLvl w:val="0"/>
    </w:pPr>
    <w:rPr>
      <w:rFonts w:asciiTheme="majorHAnsi" w:eastAsiaTheme="majorEastAsia" w:hAnsiTheme="majorHAnsi" w:cstheme="majorBidi"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0" w:after="0" w:line="480" w:lineRule="auto"/>
      <w:outlineLvl w:val="1"/>
    </w:pPr>
    <w:rPr>
      <w:rFonts w:asciiTheme="majorHAnsi" w:eastAsiaTheme="majorEastAsia" w:hAnsiTheme="majorHAnsi" w:cstheme="majorBidi" w:ascii="Times New Roman" w:hAnsi="Times New Roman" w:eastAsia="Times New Roman"/>
      <w:b/>
      <w:bCs/>
      <w:i/>
      <w:color w:val="000000"/>
      <w:sz w:val="24"/>
      <w:szCs w:val="26"/>
    </w:rPr>
  </w:style>
  <w:style w:type="paragraph" w:styleId="Heading3">
    <w:name w:val="heading 3"/>
    <w:basedOn w:val="Normal"/>
    <w:next w:val="Normal"/>
    <w:link w:val="Heading3Char"/>
    <w:uiPriority w:val="9"/>
    <w:unhideWhenUsed/>
    <w:qFormat/>
    <w:rsid w:val="00FC693F"/>
    <w:pPr>
      <w:keepNext/>
      <w:keepLines/>
      <w:spacing w:before="0" w:after="0" w:line="480" w:lineRule="auto"/>
      <w:outlineLvl w:val="2"/>
    </w:pPr>
    <w:rPr>
      <w:rFonts w:asciiTheme="majorHAnsi" w:eastAsiaTheme="majorEastAsia" w:hAnsiTheme="majorHAnsi" w:cstheme="majorBidi" w:ascii="Times New Roman" w:hAnsi="Times New Roman" w:eastAsia="Times New Roman"/>
      <w:b/>
      <w:bCs/>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0" w:line="480" w:lineRule="auto" w:before="0"/>
      <w:contextualSpacing/>
    </w:pPr>
    <w:rPr>
      <w:rFonts w:asciiTheme="majorHAnsi" w:eastAsiaTheme="majorEastAsia" w:hAnsiTheme="majorHAnsi" w:cstheme="majorBidi" w:ascii="Times New Roman" w:hAnsi="Times New Roman" w:eastAsia="Times New Roman"/>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0" w:line="480" w:lineRule="auto"/>
      <w:ind w:firstLine="720"/>
    </w:pPr>
    <w:rPr>
      <w:rFonts w:ascii="Times New Roman" w:hAnsi="Times New Roman" w:eastAsia="Times New Roman"/>
      <w:sz w:val="24"/>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Information to Access: Disability Resource Gaps in Postsecondary Education</dc:title>
  <dc:subject>Publication development draft for Journal of Postsecondary Education and Disability consideration</dc:subject>
  <dc:creator>Eric S. Fishon</dc:creator>
  <cp:keywords/>
  <dc:description>generated by python-docx</dc:description>
  <cp:lastModifiedBy/>
  <cp:revision>1</cp:revision>
  <dcterms:created xsi:type="dcterms:W3CDTF">2013-12-23T23:15:00Z</dcterms:created>
  <dcterms:modified xsi:type="dcterms:W3CDTF">2013-12-23T23:15:00Z</dcterms:modified>
  <cp:category/>
</cp:coreProperties>
</file>